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80"/>
      </w:pPr>
      <w:r>
        <w:rPr>
          <w:rFonts w:ascii="Arial" w:hAnsi="Arial"/>
          <w:b/>
          <w:i w:val="0"/>
          <w:color w:val="193752"/>
          <w:sz w:val="46"/>
        </w:rPr>
        <w:t>PUBLIC OFFER FOR PROFESSIONAL SERVICES</w:t>
      </w:r>
    </w:p>
    <w:p>
      <w:pPr>
        <w:spacing w:after="280"/>
      </w:pPr>
      <w:r>
        <w:rPr>
          <w:rFonts w:ascii="Arial" w:hAnsi="Arial"/>
          <w:b w:val="0"/>
          <w:i w:val="0"/>
          <w:color w:val="5C656E"/>
          <w:sz w:val="24"/>
        </w:rPr>
        <w:t>Contract terms for licence-application and regulatory consultancy services</w:t>
      </w:r>
    </w:p>
    <w:p>
      <w:pPr>
        <w:spacing w:after="40"/>
      </w:pPr>
      <w:r>
        <w:rPr>
          <w:rFonts w:ascii="Arial" w:hAnsi="Arial"/>
          <w:b/>
          <w:i w:val="0"/>
          <w:sz w:val="19"/>
        </w:rPr>
        <w:t xml:space="preserve">Provider: </w:t>
      </w:r>
      <w:r>
        <w:rPr>
          <w:rFonts w:ascii="Arial" w:hAnsi="Arial"/>
          <w:b w:val="0"/>
          <w:i w:val="0"/>
          <w:sz w:val="19"/>
        </w:rPr>
        <w:t>Regulora Legal Consultancy LLC</w:t>
      </w:r>
    </w:p>
    <w:p>
      <w:pPr>
        <w:spacing w:after="40"/>
      </w:pPr>
      <w:r>
        <w:rPr>
          <w:rFonts w:ascii="Arial" w:hAnsi="Arial"/>
          <w:b/>
          <w:i w:val="0"/>
          <w:sz w:val="19"/>
        </w:rPr>
        <w:t xml:space="preserve">Offices: Office 1207, The Opus Tower, Business Bay, Dubai, United Arab Emirates; Dr. M.J. Hugenholtzweg z/n, Willemstad, Curaçao, Netherlands Antilles; Unit 12-3, Level 12, Main Office Tower, Financial Park Labuan, Jalan Merdeka, 87000 Labuan F.T., Malaysia; 2nd Floor, Belize Bank Building, 60 Market Square, Belize City, Belize</w:t>
      </w:r>
      <w:r>
        <w:rPr>
          <w:rFonts w:ascii="Arial" w:hAnsi="Arial"/>
          <w:b w:val="0"/>
          <w:i w:val="0"/>
          <w:sz w:val="19"/>
        </w:rPr>
        <w:t/>
      </w:r>
    </w:p>
    <w:p>
      <w:pPr>
        <w:spacing w:after="40"/>
      </w:pPr>
      <w:r>
        <w:rPr>
          <w:rFonts w:ascii="Arial" w:hAnsi="Arial"/>
          <w:b/>
          <w:i w:val="0"/>
          <w:sz w:val="19"/>
        </w:rPr>
        <w:t xml:space="preserve">Commercial licence: </w:t>
      </w:r>
      <w:r>
        <w:rPr>
          <w:rFonts w:ascii="Arial" w:hAnsi="Arial"/>
          <w:b w:val="0"/>
          <w:i w:val="0"/>
          <w:sz w:val="19"/>
        </w:rPr>
        <w:t>DMCC-74289, issued by Dubai Multi Commodities Centre (DMCC)</w:t>
      </w:r>
    </w:p>
    <w:p>
      <w:pPr>
        <w:spacing w:after="40"/>
      </w:pPr>
      <w:r>
        <w:rPr>
          <w:rFonts w:ascii="Arial" w:hAnsi="Arial"/>
          <w:b/>
          <w:i w:val="0"/>
          <w:sz w:val="19"/>
        </w:rPr>
        <w:t xml:space="preserve">Effective date: </w:t>
      </w:r>
      <w:r>
        <w:rPr>
          <w:rFonts w:ascii="Arial" w:hAnsi="Arial"/>
          <w:b w:val="0"/>
          <w:i w:val="0"/>
          <w:sz w:val="19"/>
        </w:rPr>
        <w:t>25 August 2026</w:t>
      </w:r>
    </w:p>
    <w:p>
      <w:pPr>
        <w:spacing w:after="40"/>
      </w:pPr>
      <w:r>
        <w:rPr>
          <w:rFonts w:ascii="Arial" w:hAnsi="Arial"/>
          <w:b/>
          <w:i w:val="0"/>
          <w:sz w:val="19"/>
        </w:rPr>
        <w:t xml:space="preserve">Website: </w:t>
      </w:r>
      <w:r>
        <w:rPr>
          <w:rFonts w:ascii="Arial" w:hAnsi="Arial"/>
          <w:b w:val="0"/>
          <w:i w:val="0"/>
          <w:sz w:val="19"/>
        </w:rPr>
        <w:t>https://regulora.net</w:t>
      </w:r>
    </w:p>
    <w:p>
      <w:pPr>
        <w:pStyle w:val="Heading1"/>
      </w:pPr>
      <w:r>
        <w:t>1. Nature and acceptance of this Offer</w:t>
      </w:r>
    </w:p>
    <w:p>
      <w:pPr>
        <w:keepLines/>
      </w:pPr>
      <w:r>
        <w:rPr>
          <w:rFonts w:ascii="Arial" w:hAnsi="Arial"/>
          <w:b w:val="0"/>
          <w:i w:val="0"/>
          <w:sz w:val="21"/>
        </w:rPr>
        <w:t>This document is a public offer by Regulora Legal Consultancy LLC to provide professional consultancy and application-support services on the terms below. A binding contract is formed when Regulora issues or confirms an order, proposal or invoice describing the services and the client accepts it by electronic confirmation, signature or payment. Regulora may require additional onboarding steps before commencing work.</w:t>
      </w:r>
    </w:p>
    <w:p>
      <w:pPr>
        <w:keepLines/>
      </w:pPr>
      <w:r>
        <w:rPr>
          <w:rFonts w:ascii="Arial" w:hAnsi="Arial"/>
          <w:b w:val="0"/>
          <w:i w:val="0"/>
          <w:sz w:val="21"/>
        </w:rPr>
        <w:t>If an individual accepts on behalf of a company, that individual warrants that they have authority to bind the company. The confirmed proposal, invoice, statement of work and this Public Offer form one agreement. In case of conflict, a signed engagement letter or statement of work prevails, followed by the confirmed proposal or invoice, then this Public Offer.</w:t>
      </w:r>
    </w:p>
    <w:p>
      <w:pPr>
        <w:pStyle w:val="Heading1"/>
      </w:pPr>
      <w:r>
        <w:t>2. Services</w:t>
      </w:r>
    </w:p>
    <w:p>
      <w:pPr>
        <w:keepLines/>
      </w:pPr>
      <w:r>
        <w:rPr>
          <w:rFonts w:ascii="Arial" w:hAnsi="Arial"/>
          <w:b w:val="0"/>
          <w:i w:val="0"/>
          <w:sz w:val="21"/>
        </w:rPr>
        <w:t>Services may include preliminary jurisdiction analysis, application planning, document checklists, review and preparation of application materials, liaison support, responses to routine regulator requests and related regulatory consultancy specifically identified in the accepted scope.</w:t>
      </w:r>
    </w:p>
    <w:p>
      <w:pPr>
        <w:keepLines/>
      </w:pPr>
      <w:r>
        <w:rPr>
          <w:rFonts w:ascii="Arial" w:hAnsi="Arial"/>
          <w:b w:val="0"/>
          <w:i w:val="0"/>
          <w:sz w:val="21"/>
        </w:rPr>
        <w:t>Unless expressly included, services exclude litigation, advocacy before courts, tax opinions, audits, certification, translation, notarisation, legalisation, company formation, accounting, banking, payment processing, technical testing, software certification and services of local counsel or other third parties.</w:t>
      </w:r>
    </w:p>
    <w:p>
      <w:pPr>
        <w:pStyle w:val="Heading1"/>
      </w:pPr>
      <w:r>
        <w:t>3. No guarantee of approval</w:t>
      </w:r>
    </w:p>
    <w:p>
      <w:pPr>
        <w:keepLines/>
      </w:pPr>
      <w:r>
        <w:rPr>
          <w:rFonts w:ascii="Arial" w:hAnsi="Arial"/>
          <w:b w:val="0"/>
          <w:i w:val="0"/>
          <w:sz w:val="21"/>
        </w:rPr>
        <w:t>The relevant regulator has sole discretion to approve, refuse, condition, defer, suspend or request changes to an application. Regulora does not control the regulator and does not guarantee approval or a particular timeline. The contractual refund programme in clause 8 is a limited fee-remedy and is not a representation that approval is certain.</w:t>
      </w:r>
    </w:p>
    <w:p>
      <w:pPr>
        <w:pStyle w:val="Heading1"/>
      </w:pPr>
      <w:r>
        <w:t>4. Client obligations</w:t>
      </w:r>
    </w:p>
    <w:p>
      <w:pPr>
        <w:keepLines/>
      </w:pPr>
      <w:r>
        <w:rPr>
          <w:rFonts w:ascii="Arial" w:hAnsi="Arial"/>
          <w:b w:val="0"/>
          <w:i w:val="0"/>
          <w:sz w:val="21"/>
        </w:rPr>
        <w:t>The client must:</w:t>
      </w:r>
    </w:p>
    <w:p>
      <w:pPr>
        <w:pStyle w:val="ListBullet"/>
        <w:spacing w:after="80"/>
        <w:ind w:left="720" w:hanging="360"/>
      </w:pPr>
      <w:r>
        <w:rPr>
          <w:rFonts w:ascii="Arial" w:hAnsi="Arial"/>
          <w:b w:val="0"/>
          <w:i w:val="0"/>
          <w:sz w:val="21"/>
        </w:rPr>
        <w:t>provide complete, accurate, current and authentic documents and information by the requested deadlines;</w:t>
      </w:r>
    </w:p>
    <w:p>
      <w:pPr>
        <w:pStyle w:val="ListBullet"/>
        <w:spacing w:after="80"/>
        <w:ind w:left="720" w:hanging="360"/>
      </w:pPr>
      <w:r>
        <w:rPr>
          <w:rFonts w:ascii="Arial" w:hAnsi="Arial"/>
          <w:b w:val="0"/>
          <w:i w:val="0"/>
          <w:sz w:val="21"/>
        </w:rPr>
        <w:t>disclose beneficial ownership, controllers, management, source of funds and source of wealth, regulatory history, criminal or civil proceedings, sanctions exposure, insolvency matters, adverse media and other material facts;</w:t>
      </w:r>
    </w:p>
    <w:p>
      <w:pPr>
        <w:pStyle w:val="ListBullet"/>
        <w:spacing w:after="80"/>
        <w:ind w:left="720" w:hanging="360"/>
      </w:pPr>
      <w:r>
        <w:rPr>
          <w:rFonts w:ascii="Arial" w:hAnsi="Arial"/>
          <w:b w:val="0"/>
          <w:i w:val="0"/>
          <w:sz w:val="21"/>
        </w:rPr>
        <w:t>promptly review and approve drafts and respond to Regulora and regulator requests;</w:t>
      </w:r>
    </w:p>
    <w:p>
      <w:pPr>
        <w:pStyle w:val="ListBullet"/>
        <w:spacing w:after="80"/>
        <w:ind w:left="720" w:hanging="360"/>
      </w:pPr>
      <w:r>
        <w:rPr>
          <w:rFonts w:ascii="Arial" w:hAnsi="Arial"/>
          <w:b w:val="0"/>
          <w:i w:val="0"/>
          <w:sz w:val="21"/>
        </w:rPr>
        <w:t>follow lawful and reasonable compliance recommendations and refrain from contacting the regulator in a manner that prejudices the application;</w:t>
      </w:r>
    </w:p>
    <w:p>
      <w:pPr>
        <w:pStyle w:val="ListBullet"/>
        <w:spacing w:after="80"/>
        <w:ind w:left="720" w:hanging="360"/>
      </w:pPr>
      <w:r>
        <w:rPr>
          <w:rFonts w:ascii="Arial" w:hAnsi="Arial"/>
          <w:b w:val="0"/>
          <w:i w:val="0"/>
          <w:sz w:val="21"/>
        </w:rPr>
        <w:t>pay all professional fees and third-party charges when due;</w:t>
      </w:r>
    </w:p>
    <w:p>
      <w:pPr>
        <w:pStyle w:val="ListBullet"/>
        <w:spacing w:after="80"/>
        <w:ind w:left="720" w:hanging="360"/>
      </w:pPr>
      <w:r>
        <w:rPr>
          <w:rFonts w:ascii="Arial" w:hAnsi="Arial"/>
          <w:b w:val="0"/>
          <w:i w:val="0"/>
          <w:sz w:val="21"/>
        </w:rPr>
        <w:t>notify Regulora immediately of any material change during the engagement.</w:t>
      </w:r>
    </w:p>
    <w:p>
      <w:pPr>
        <w:keepLines/>
      </w:pPr>
      <w:r>
        <w:rPr>
          <w:rFonts w:ascii="Arial" w:hAnsi="Arial"/>
          <w:b w:val="0"/>
          <w:i w:val="0"/>
          <w:sz w:val="21"/>
        </w:rPr>
        <w:t>Regulora may rely on information supplied by the client without independently verifying every statement. The client is responsible for the legality, accuracy and completeness of its business model and disclosures.</w:t>
      </w:r>
    </w:p>
    <w:p>
      <w:pPr>
        <w:pStyle w:val="Heading1"/>
      </w:pPr>
      <w:r>
        <w:t>5. Compliance and right to decline or suspend</w:t>
      </w:r>
    </w:p>
    <w:p>
      <w:pPr>
        <w:keepLines/>
      </w:pPr>
      <w:r>
        <w:rPr>
          <w:rFonts w:ascii="Arial" w:hAnsi="Arial"/>
          <w:b w:val="0"/>
          <w:i w:val="0"/>
          <w:sz w:val="21"/>
        </w:rPr>
        <w:t>Services are subject to conflict, know-your-client, anti-money-laundering, sanctions and reputational checks. Regulora may pause or terminate an engagement if required information is not provided, a payment is overdue, continuing would breach law or professional duties, or there is a reasonable concern regarding illegality, deception or misuse of the services.</w:t>
      </w:r>
    </w:p>
    <w:p>
      <w:pPr>
        <w:pStyle w:val="Heading1"/>
      </w:pPr>
      <w:r>
        <w:t>6. Fees, taxes and third-party costs</w:t>
      </w:r>
    </w:p>
    <w:p>
      <w:pPr>
        <w:keepLines/>
      </w:pPr>
      <w:r>
        <w:rPr>
          <w:rFonts w:ascii="Arial" w:hAnsi="Arial"/>
          <w:b w:val="0"/>
          <w:i w:val="0"/>
          <w:sz w:val="21"/>
        </w:rPr>
        <w:t>Professional fees, payment schedule, currency and applicable taxes are stated in the confirmed proposal or invoice. Regulator, government, registry, laboratory, audit, translation, notarisation, legalisation, travel, banking, payment-provider, local-counsel and similar external charges are separate unless expressly included. Third-party charges may change without notice and may be payable directly to the relevant provider.</w:t>
      </w:r>
    </w:p>
    <w:p>
      <w:pPr>
        <w:keepLines/>
      </w:pPr>
      <w:r>
        <w:rPr>
          <w:rFonts w:ascii="Arial" w:hAnsi="Arial"/>
          <w:b w:val="0"/>
          <w:i w:val="0"/>
          <w:sz w:val="21"/>
        </w:rPr>
        <w:t>Invoices are due on the date stated. Regulora may suspend work while an amount is overdue. Bank, intermediary and card charges are borne by the client unless mandatory law provides otherwise.</w:t>
      </w:r>
    </w:p>
    <w:p>
      <w:pPr>
        <w:pStyle w:val="Heading1"/>
      </w:pPr>
      <w:r>
        <w:t>7. Delivery and change of scope</w:t>
      </w:r>
    </w:p>
    <w:p>
      <w:pPr>
        <w:keepLines/>
      </w:pPr>
      <w:r>
        <w:rPr>
          <w:rFonts w:ascii="Arial" w:hAnsi="Arial"/>
          <w:b w:val="0"/>
          <w:i w:val="0"/>
          <w:sz w:val="21"/>
        </w:rPr>
        <w:t>We begin work after acceptance, cleared payment and receipt of onboarding information requested for the initial stage. Time estimates pause while waiting for the client or a third party. Material changes to ownership, management, jurisdiction, product, technology, target markets or business model may require a revised scope and additional fees.</w:t>
      </w:r>
    </w:p>
    <w:p>
      <w:pPr>
        <w:pStyle w:val="Heading1"/>
      </w:pPr>
      <w:r>
        <w:t>8. Licence Denial Refund Programme</w:t>
      </w:r>
    </w:p>
    <w:p>
      <w:pPr>
        <w:keepLines/>
      </w:pPr>
      <w:r>
        <w:rPr>
          <w:rFonts w:ascii="Arial" w:hAnsi="Arial"/>
          <w:b w:val="0"/>
          <w:i w:val="0"/>
          <w:sz w:val="21"/>
        </w:rPr>
        <w:t>8.1 Refund promise. If the competent regulator issues a final written decision refusing the specific licence application covered by the accepted scope, Regulora will refund 100% of the eligible professional service fees actually paid to Regulora for preparing and supporting that application, provided every condition in clause 8.2 is satisfied.</w:t>
      </w:r>
    </w:p>
    <w:p>
      <w:pPr>
        <w:keepLines/>
      </w:pPr>
      <w:r>
        <w:rPr>
          <w:rFonts w:ascii="Arial" w:hAnsi="Arial"/>
          <w:b w:val="0"/>
          <w:i w:val="0"/>
          <w:sz w:val="21"/>
        </w:rPr>
        <w:t>8.2 Eligibility conditions. The client must have:</w:t>
      </w:r>
    </w:p>
    <w:p>
      <w:pPr>
        <w:pStyle w:val="ListBullet"/>
        <w:spacing w:after="80"/>
        <w:ind w:left="720" w:hanging="360"/>
      </w:pPr>
      <w:r>
        <w:rPr>
          <w:rFonts w:ascii="Arial" w:hAnsi="Arial"/>
          <w:b w:val="0"/>
          <w:i w:val="0"/>
          <w:sz w:val="21"/>
        </w:rPr>
        <w:t>provided every document and item of information requested by Regulora or the regulator in full, accurately and within the stated deadline;</w:t>
      </w:r>
    </w:p>
    <w:p>
      <w:pPr>
        <w:pStyle w:val="ListBullet"/>
        <w:spacing w:after="80"/>
        <w:ind w:left="720" w:hanging="360"/>
      </w:pPr>
      <w:r>
        <w:rPr>
          <w:rFonts w:ascii="Arial" w:hAnsi="Arial"/>
          <w:b w:val="0"/>
          <w:i w:val="0"/>
          <w:sz w:val="21"/>
        </w:rPr>
        <w:t>made no false statement, material omission, forged submission or misleading representation;</w:t>
      </w:r>
    </w:p>
    <w:p>
      <w:pPr>
        <w:pStyle w:val="ListBullet"/>
        <w:spacing w:after="80"/>
        <w:ind w:left="720" w:hanging="360"/>
      </w:pPr>
      <w:r>
        <w:rPr>
          <w:rFonts w:ascii="Arial" w:hAnsi="Arial"/>
          <w:b w:val="0"/>
          <w:i w:val="0"/>
          <w:sz w:val="21"/>
        </w:rPr>
        <w:t>fully disclosed all material ownership, financial, compliance, regulatory, litigation, sanctions, criminal-history and adverse-media matters;</w:t>
      </w:r>
    </w:p>
    <w:p>
      <w:pPr>
        <w:pStyle w:val="ListBullet"/>
        <w:spacing w:after="80"/>
        <w:ind w:left="720" w:hanging="360"/>
      </w:pPr>
      <w:r>
        <w:rPr>
          <w:rFonts w:ascii="Arial" w:hAnsi="Arial"/>
          <w:b w:val="0"/>
          <w:i w:val="0"/>
          <w:sz w:val="21"/>
        </w:rPr>
        <w:t>followed Regulora’s lawful written instructions and taken every reasonable remedial step requested before the final decision;</w:t>
      </w:r>
    </w:p>
    <w:p>
      <w:pPr>
        <w:pStyle w:val="ListBullet"/>
        <w:spacing w:after="80"/>
        <w:ind w:left="720" w:hanging="360"/>
      </w:pPr>
      <w:r>
        <w:rPr>
          <w:rFonts w:ascii="Arial" w:hAnsi="Arial"/>
          <w:b w:val="0"/>
          <w:i w:val="0"/>
          <w:sz w:val="21"/>
        </w:rPr>
        <w:t>paid all invoices and external charges due under the engagement;</w:t>
      </w:r>
    </w:p>
    <w:p>
      <w:pPr>
        <w:pStyle w:val="ListBullet"/>
        <w:spacing w:after="80"/>
        <w:ind w:left="720" w:hanging="360"/>
      </w:pPr>
      <w:r>
        <w:rPr>
          <w:rFonts w:ascii="Arial" w:hAnsi="Arial"/>
          <w:b w:val="0"/>
          <w:i w:val="0"/>
          <w:sz w:val="21"/>
        </w:rPr>
        <w:t>allowed Regulora to complete the agreed application process and supplied the final written refusal.</w:t>
      </w:r>
    </w:p>
    <w:p>
      <w:pPr>
        <w:keepLines/>
      </w:pPr>
      <w:r>
        <w:rPr>
          <w:rFonts w:ascii="Arial" w:hAnsi="Arial"/>
          <w:b w:val="0"/>
          <w:i w:val="0"/>
          <w:sz w:val="21"/>
        </w:rPr>
        <w:t>8.3 Excluded amounts. The refund covers only eligible professional service fees paid to Regulora for the refused application. It excludes government and regulator fees, taxes, bank and payment charges, company-formation costs, translations, notarisation, legalisation, audits, testing, travel, local counsel and all other third-party costs or pass-through expenses. Fees for separately completed services are not refundable.</w:t>
      </w:r>
    </w:p>
    <w:p>
      <w:pPr>
        <w:keepLines/>
      </w:pPr>
      <w:r>
        <w:rPr>
          <w:rFonts w:ascii="Arial" w:hAnsi="Arial"/>
          <w:b w:val="0"/>
          <w:i w:val="0"/>
          <w:sz w:val="21"/>
        </w:rPr>
        <w:t>8.4 Events that are not a qualifying refusal. No refund is due where an application is withdrawn, abandoned, suspended, returned as incomplete, left undecided, delayed, transferred to another category or jurisdiction, or not submitted because the client does not satisfy prerequisites. No refund is due where the refusal or inability to proceed results from the client’s breach, late cooperation, inaccurate or omitted information, unlawful business model, failure to pay, change of instructions, sanctions or compliance restriction, or conduct outside Regulora’s control attributable to the client.</w:t>
      </w:r>
    </w:p>
    <w:p>
      <w:pPr>
        <w:keepLines/>
      </w:pPr>
      <w:r>
        <w:rPr>
          <w:rFonts w:ascii="Arial" w:hAnsi="Arial"/>
          <w:b w:val="0"/>
          <w:i w:val="0"/>
          <w:sz w:val="21"/>
        </w:rPr>
        <w:t>8.5 Claim procedure. The client must send a written refund request to refunds@regulora.net within 30 calendar days after the final written refusal, attaching the decision and payment details. Regulora may request information reasonably needed to confirm eligibility. An approved refund will be initiated within 30 calendar days to the original payment method where practicable. Processing times of banks and payment providers are outside Regulora’s control.</w:t>
      </w:r>
    </w:p>
    <w:p>
      <w:pPr>
        <w:keepLines/>
      </w:pPr>
      <w:r>
        <w:rPr>
          <w:rFonts w:ascii="Arial" w:hAnsi="Arial"/>
          <w:b w:val="0"/>
          <w:i w:val="0"/>
          <w:sz w:val="21"/>
        </w:rPr>
        <w:t>8.6 Sole promotional remedy. To the extent permitted by law, the refund described in this clause is the client’s sole monetary remedy under the promotional approval-refund promise. Mandatory statutory rights remain unaffected.</w:t>
      </w:r>
    </w:p>
    <w:p>
      <w:pPr>
        <w:pStyle w:val="Heading1"/>
      </w:pPr>
      <w:r>
        <w:t>9. Twelve-Month Complimentary Consultation Benefit</w:t>
      </w:r>
    </w:p>
    <w:p>
      <w:pPr>
        <w:keepLines/>
      </w:pPr>
      <w:r>
        <w:rPr>
          <w:rFonts w:ascii="Arial" w:hAnsi="Arial"/>
          <w:b w:val="0"/>
          <w:i w:val="0"/>
          <w:sz w:val="21"/>
        </w:rPr>
        <w:t>A client that purchases and fully pays for an eligible licence-application package receives complimentary consultations for 12 months from the payment date. The benefit comprises up to 12 consultations, each lasting up to 30 minutes, or equivalent short written responses, concerning the purchased licence and the client’s ongoing compliance under that licence route.</w:t>
      </w:r>
    </w:p>
    <w:p>
      <w:pPr>
        <w:keepLines/>
      </w:pPr>
      <w:r>
        <w:rPr>
          <w:rFonts w:ascii="Arial" w:hAnsi="Arial"/>
          <w:b w:val="0"/>
          <w:i w:val="0"/>
          <w:sz w:val="21"/>
        </w:rPr>
        <w:t>The benefit is non-transferable, has no cash value and expires at the end of the 12-month period. Unused consultations do not roll over beyond that date. It excludes new applications or jurisdictions, appeals, litigation, formal legal opinions, contract drafting or review, tax work, corporate restructuring, regulator submissions, audits, investigations and substantial research. Work outside the benefit may be quoted separately. Appointment availability and reasonable notice requirements apply.</w:t>
      </w:r>
    </w:p>
    <w:p>
      <w:pPr>
        <w:pStyle w:val="Heading1"/>
      </w:pPr>
      <w:r>
        <w:t>10. Confidentiality and personal data</w:t>
      </w:r>
    </w:p>
    <w:p>
      <w:pPr>
        <w:keepLines/>
      </w:pPr>
      <w:r>
        <w:rPr>
          <w:rFonts w:ascii="Arial" w:hAnsi="Arial"/>
          <w:b w:val="0"/>
          <w:i w:val="0"/>
          <w:sz w:val="21"/>
        </w:rPr>
        <w:t>Each party shall protect non-public information received from the other and use it only for the engagement, except where disclosure is authorised, necessary to perform the services, required by a regulator or professional adviser, or required by law. Personal data is processed as described in the Privacy Policy and as reasonably necessary to provide the services and meet legal obligations.</w:t>
      </w:r>
    </w:p>
    <w:p>
      <w:pPr>
        <w:pStyle w:val="Heading1"/>
      </w:pPr>
      <w:r>
        <w:t>11. Intellectual property and client materials</w:t>
      </w:r>
    </w:p>
    <w:p>
      <w:pPr>
        <w:keepLines/>
      </w:pPr>
      <w:r>
        <w:rPr>
          <w:rFonts w:ascii="Arial" w:hAnsi="Arial"/>
          <w:b w:val="0"/>
          <w:i w:val="0"/>
          <w:sz w:val="21"/>
        </w:rPr>
        <w:t>The client retains ownership of its pre-existing materials. Regulora retains ownership of its methodologies, templates, know-how and pre-existing materials. After full payment, the client may use final deliverables created specifically for it for the relevant application and internal business purposes. The client grants Regulora permission to use client materials solely to perform the engagement and meet legal obligations.</w:t>
      </w:r>
    </w:p>
    <w:p>
      <w:pPr>
        <w:pStyle w:val="Heading1"/>
      </w:pPr>
      <w:r>
        <w:t>12. Third parties and communications</w:t>
      </w:r>
    </w:p>
    <w:p>
      <w:pPr>
        <w:keepLines/>
      </w:pPr>
      <w:r>
        <w:rPr>
          <w:rFonts w:ascii="Arial" w:hAnsi="Arial"/>
          <w:b w:val="0"/>
          <w:i w:val="0"/>
          <w:sz w:val="21"/>
        </w:rPr>
        <w:t>Regulora may engage qualified affiliates, local counsel, translators, consultants or service providers where reasonably required, while remaining responsible for its own contracted work. The client authorises electronic communication and understands that no electronic system is entirely secure. Regulora may rely on instructions sent from authorised client contact details unless notified of compromise.</w:t>
      </w:r>
    </w:p>
    <w:p>
      <w:pPr>
        <w:pStyle w:val="Heading1"/>
      </w:pPr>
      <w:r>
        <w:t>13. Termination</w:t>
      </w:r>
    </w:p>
    <w:p>
      <w:pPr>
        <w:keepLines/>
      </w:pPr>
      <w:r>
        <w:rPr>
          <w:rFonts w:ascii="Arial" w:hAnsi="Arial"/>
          <w:b w:val="0"/>
          <w:i w:val="0"/>
          <w:sz w:val="21"/>
        </w:rPr>
        <w:t>Either party may terminate by written notice. Regulora may terminate immediately for non-payment, illegality, conflict, compliance concern, abuse, misleading information or material breach. On termination, the client must pay for work performed and committed third-party costs. Any refund is governed exclusively by clause 8 and mandatory law.</w:t>
      </w:r>
    </w:p>
    <w:p>
      <w:pPr>
        <w:pStyle w:val="Heading1"/>
      </w:pPr>
      <w:r>
        <w:t>14. Liability</w:t>
      </w:r>
    </w:p>
    <w:p>
      <w:pPr>
        <w:keepLines/>
      </w:pPr>
      <w:r>
        <w:rPr>
          <w:rFonts w:ascii="Arial" w:hAnsi="Arial"/>
          <w:b w:val="0"/>
          <w:i w:val="0"/>
          <w:sz w:val="21"/>
        </w:rPr>
        <w:t>Regulora shall perform services with reasonable care and skill. To the maximum extent permitted by law, Regulora is not liable for decisions or delays of regulators or third parties, changes in law or policy, loss caused by client information or instructions, or indirect, consequential, special or punitive loss. Regulora’s aggregate liability arising from an engagement shall not exceed the professional fees paid to Regulora for the specific service giving rise to the claim, except where liability cannot lawfully be limited or arises from fraud or wilful misconduct.</w:t>
      </w:r>
    </w:p>
    <w:p>
      <w:pPr>
        <w:pStyle w:val="Heading1"/>
      </w:pPr>
      <w:r>
        <w:t>15. Force majeure</w:t>
      </w:r>
    </w:p>
    <w:p>
      <w:pPr>
        <w:keepLines/>
      </w:pPr>
      <w:r>
        <w:rPr>
          <w:rFonts w:ascii="Arial" w:hAnsi="Arial"/>
          <w:b w:val="0"/>
          <w:i w:val="0"/>
          <w:sz w:val="21"/>
        </w:rPr>
        <w:t>Neither party is liable for delay or failure caused by events beyond reasonable control, including government or regulatory action, system outages, cyber incidents, war, sanctions, epidemic, natural disaster, labour disruption or failure of essential third-party infrastructure. Payment obligations already accrued are not excused.</w:t>
      </w:r>
    </w:p>
    <w:p>
      <w:pPr>
        <w:pStyle w:val="Heading1"/>
      </w:pPr>
      <w:r>
        <w:t>16. Notices, governing law and disputes</w:t>
      </w:r>
    </w:p>
    <w:p>
      <w:pPr>
        <w:keepLines/>
      </w:pPr>
      <w:r>
        <w:rPr>
          <w:rFonts w:ascii="Arial" w:hAnsi="Arial"/>
          <w:b w:val="0"/>
          <w:i w:val="0"/>
          <w:sz w:val="21"/>
        </w:rPr>
        <w:t>Notices must be sent to the contact details in the confirmed order or invoice and are effective when receipt is reasonably evidenced. The agreement is governed by the federal laws of the United Arab Emirates and the laws applicable in the Emirate of Dubai. Subject to mandatory consumer rights, the courts of Dubai have exclusive jurisdiction. Before filing proceedings, the parties shall attempt in good faith to resolve the dispute through written notice and 30 days of negotiation.</w:t>
      </w:r>
    </w:p>
    <w:p>
      <w:pPr>
        <w:pStyle w:val="Heading1"/>
      </w:pPr>
      <w:r>
        <w:t>17. General</w:t>
      </w:r>
    </w:p>
    <w:p>
      <w:pPr>
        <w:keepLines/>
      </w:pPr>
      <w:r>
        <w:rPr>
          <w:rFonts w:ascii="Arial" w:hAnsi="Arial"/>
          <w:b w:val="0"/>
          <w:i w:val="0"/>
          <w:sz w:val="21"/>
        </w:rPr>
        <w:t>If a provision is unenforceable, it will be limited or removed only to the extent necessary and the remainder continues. Failure to enforce a right is not a waiver. The client may not assign the agreement without written consent. Regulora may assign it as part of a bona fide restructuring or transfer of business, subject to applicable law. Electronic acceptance and records may be used to evidence the agreement.</w:t>
      </w:r>
    </w:p>
    <w:p>
      <w:pPr>
        <w:pStyle w:val="Heading1"/>
      </w:pPr>
      <w:r>
        <w:t>Contact details</w:t>
      </w:r>
    </w:p>
    <w:p>
      <w:pPr>
        <w:spacing w:after="0" w:line="240" w:lineRule="auto"/>
      </w:pPr>
      <w:r>
        <w:rPr>
          <w:rFonts w:ascii="Arial" w:hAnsi="Arial"/>
          <w:b w:val="0"/>
          <w:i w:val="0"/>
          <w:sz w:val="17"/>
        </w:rPr>
        <w:t>Regulora Legal Consultancy LLC</w:t>
        <w:br/>
        <w:t>Office 1207, The Opus Tower, Business Bay, Dubai, United Arab Emirates; Dr. M.J. Hugenholtzweg z/n, Willemstad, Curaçao, Netherlands Antilles; Unit 12-3, Level 12, Main Office Tower, Financial Park Labuan, Jalan Merdeka, 87000 Labuan F.T., Malaysia; 2nd Floor, Belize Bank Building, 60 Market Square, Belize City, Belize</w:t>
        <w:br/>
        <w:t>General enquiries: info@regulora.net</w:t>
        <w:br/>
        <w:t>Legal notices: legal@regulora.net</w:t>
        <w:br/>
        <w:t>Privacy enquiries: privacy@regulora.net</w:t>
        <w:br/>
        <w:t>Refund claims: refunds@regulora.net</w:t>
        <w:br/>
        <w:t>Commercial licensing authority: Dubai Multi Commodities Centre (DMCC)</w:t>
        <w:br/>
        <w:t>Trade licence number: DMCC-74289</w:t>
        <w:br/>
        <w:t>Licence type: Professional License</w:t>
        <w:br/>
        <w:t>Licensed activity: Legal Consultancy Services</w:t>
        <w:br/>
        <w:t>Licence validity: 15 January 2025 to 14 January 2028</w:t>
      </w:r>
    </w:p>
    <w:sectPr w:rsidR="00FC693F" w:rsidRPr="0006063C" w:rsidSect="00034616">
      <w:headerReference w:type="default" r:id="rId9"/>
      <w:footerReference w:type="default" r:id="rId10"/>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i w:val="0"/>
        <w:color w:val="5C656E"/>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b/>
        <w:i w:val="0"/>
        <w:color w:val="5C656E"/>
        <w:sz w:val="17"/>
      </w:rPr>
      <w:t>REGULORA LEGAL CONSULTANCY LLC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color w:val="181C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193752"/>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193752"/>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19375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Regulora Legal Consultancy LLC</dc:creator>
  <cp:keywords/>
  <dc:description>Public-facing website legal document. Counsel review required before publication.</dc:description>
  <cp:lastModifiedBy/>
  <cp:revision>1</cp:revision>
  <dcterms:created xsi:type="dcterms:W3CDTF">2013-12-23T23:15:00Z</dcterms:created>
  <dcterms:modified xsi:type="dcterms:W3CDTF">2013-12-23T23:15:00Z</dcterms:modified>
  <cp:category/>
</cp:coreProperties>
</file>